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7C65" w14:textId="5A8811E3" w:rsidR="00A73466" w:rsidRPr="00A73466" w:rsidRDefault="00A73466" w:rsidP="00A73466">
      <w:pPr>
        <w:ind w:firstLine="0"/>
        <w:rPr>
          <w:rFonts w:cs="Times New Roman"/>
          <w:b/>
          <w:szCs w:val="28"/>
        </w:rPr>
      </w:pPr>
      <w:r w:rsidRPr="00A73466">
        <w:rPr>
          <w:rFonts w:cs="Times New Roman"/>
          <w:b/>
          <w:szCs w:val="28"/>
        </w:rPr>
        <w:t xml:space="preserve">2. Mūžizglītība </w:t>
      </w:r>
    </w:p>
    <w:p w14:paraId="3D88B46D" w14:textId="77777777" w:rsidR="00A73466" w:rsidRPr="00A73466" w:rsidRDefault="00A73466" w:rsidP="00A73466">
      <w:pPr>
        <w:ind w:firstLine="0"/>
        <w:rPr>
          <w:rFonts w:cs="Times New Roman"/>
          <w:b/>
          <w:szCs w:val="28"/>
        </w:rPr>
      </w:pPr>
      <w:r w:rsidRPr="00A73466">
        <w:rPr>
          <w:rFonts w:cs="Times New Roman"/>
          <w:b/>
          <w:szCs w:val="28"/>
        </w:rPr>
        <w:t>Definīcija</w:t>
      </w:r>
    </w:p>
    <w:p w14:paraId="407E9516" w14:textId="77777777" w:rsidR="00A73466" w:rsidRPr="00A73466" w:rsidRDefault="00A73466" w:rsidP="00A73466">
      <w:pPr>
        <w:jc w:val="left"/>
        <w:rPr>
          <w:rFonts w:cs="Times New Roman"/>
          <w:szCs w:val="28"/>
        </w:rPr>
      </w:pPr>
      <w:r w:rsidRPr="00A73466">
        <w:rPr>
          <w:rFonts w:cs="Times New Roman"/>
          <w:szCs w:val="28"/>
        </w:rPr>
        <w:t>Kembridžas vārdnīca  https://dictionary.cambridge.org/dictionary/english/lifelong-learning :°</w:t>
      </w:r>
    </w:p>
    <w:p w14:paraId="532A3E83" w14:textId="77777777" w:rsidR="00A73466" w:rsidRPr="00A73466" w:rsidRDefault="00A73466" w:rsidP="00A73466">
      <w:pPr>
        <w:rPr>
          <w:rFonts w:cs="Times New Roman"/>
          <w:szCs w:val="28"/>
        </w:rPr>
      </w:pPr>
      <w:r w:rsidRPr="00A73466">
        <w:rPr>
          <w:rFonts w:cs="Times New Roman"/>
          <w:szCs w:val="28"/>
        </w:rPr>
        <w:t>Mūžizglītība - zināšanu un prasmju iegūšanas process visas dzīves garumā.</w:t>
      </w:r>
    </w:p>
    <w:p w14:paraId="16AD1969" w14:textId="77777777" w:rsidR="00A73466" w:rsidRPr="00A73466" w:rsidRDefault="00A73466" w:rsidP="00A73466">
      <w:pPr>
        <w:jc w:val="left"/>
        <w:rPr>
          <w:rFonts w:cs="Times New Roman"/>
          <w:szCs w:val="28"/>
        </w:rPr>
      </w:pPr>
      <w:proofErr w:type="spellStart"/>
      <w:r w:rsidRPr="00A73466">
        <w:rPr>
          <w:rFonts w:cs="Times New Roman"/>
          <w:szCs w:val="28"/>
        </w:rPr>
        <w:t>Collins</w:t>
      </w:r>
      <w:proofErr w:type="spellEnd"/>
      <w:r w:rsidRPr="00A73466">
        <w:rPr>
          <w:rFonts w:cs="Times New Roman"/>
          <w:szCs w:val="28"/>
        </w:rPr>
        <w:t xml:space="preserve"> vārdnīca https://www.collinsdictionary.com/dictionary/english/lifelong-learning :</w:t>
      </w:r>
    </w:p>
    <w:p w14:paraId="09B48141" w14:textId="77777777" w:rsidR="00A73466" w:rsidRPr="00A73466" w:rsidRDefault="00A73466" w:rsidP="00A73466">
      <w:pPr>
        <w:rPr>
          <w:rFonts w:cs="Times New Roman"/>
          <w:szCs w:val="28"/>
        </w:rPr>
      </w:pPr>
      <w:r w:rsidRPr="00A73466">
        <w:rPr>
          <w:rFonts w:cs="Times New Roman"/>
          <w:szCs w:val="28"/>
        </w:rPr>
        <w:t>Gan formālās, gan neformālās mācīšanās iespēju nodrošināšana vai izmantošana cilvēku dzīves laikā, lai veicinātu nepārtrauktu zināšanu un prasmju attīstību un pilnveidošanu, kas nepieciešamas nodarbinātībai un personīgai piepildīšanai.</w:t>
      </w:r>
    </w:p>
    <w:p w14:paraId="6CCF3F40" w14:textId="77777777" w:rsidR="00A73466" w:rsidRPr="00A73466" w:rsidRDefault="00A73466" w:rsidP="00A73466">
      <w:pPr>
        <w:ind w:firstLine="0"/>
        <w:rPr>
          <w:rFonts w:cs="Times New Roman"/>
          <w:b/>
          <w:szCs w:val="28"/>
        </w:rPr>
      </w:pPr>
      <w:r w:rsidRPr="00A73466">
        <w:rPr>
          <w:rFonts w:cs="Times New Roman"/>
          <w:b/>
          <w:szCs w:val="28"/>
        </w:rPr>
        <w:t>Garāks skaidrojums</w:t>
      </w:r>
    </w:p>
    <w:p w14:paraId="65BA73A2" w14:textId="1E93FC23" w:rsidR="00A73466" w:rsidRPr="00A73466" w:rsidRDefault="00AB5E86" w:rsidP="00A73466">
      <w:pPr>
        <w:rPr>
          <w:rFonts w:cs="Times New Roman"/>
          <w:szCs w:val="28"/>
        </w:rPr>
      </w:pPr>
      <w:hyperlink r:id="rId7" w:history="1">
        <w:r w:rsidR="00A73466" w:rsidRPr="00B7553F">
          <w:rPr>
            <w:rStyle w:val="Hyperlink"/>
            <w:rFonts w:cs="Times New Roman"/>
            <w:szCs w:val="28"/>
          </w:rPr>
          <w:t>https://www.oxfordhandbooks.com/view/10.1093/oxfordhb/9780195390483.001.0001/oxfordhb-9780195390483-e-001</w:t>
        </w:r>
      </w:hyperlink>
      <w:r w:rsidR="00A73466">
        <w:rPr>
          <w:rFonts w:cs="Times New Roman"/>
          <w:szCs w:val="28"/>
        </w:rPr>
        <w:t xml:space="preserve"> </w:t>
      </w:r>
    </w:p>
    <w:p w14:paraId="3CF2F195" w14:textId="7B92840D" w:rsidR="00A73466" w:rsidRPr="00A73466" w:rsidRDefault="00AB5E86" w:rsidP="00A73466">
      <w:pPr>
        <w:rPr>
          <w:rFonts w:cs="Times New Roman"/>
          <w:szCs w:val="28"/>
        </w:rPr>
      </w:pPr>
      <w:hyperlink r:id="rId8" w:history="1">
        <w:r w:rsidR="00A73466" w:rsidRPr="00B7553F">
          <w:rPr>
            <w:rStyle w:val="Hyperlink"/>
            <w:rFonts w:cs="Times New Roman"/>
            <w:szCs w:val="28"/>
          </w:rPr>
          <w:t>https://www.researchgate.net/publication/224767020_Lifelong_Learning_What_does_it_Mean</w:t>
        </w:r>
      </w:hyperlink>
      <w:r w:rsidR="00A73466">
        <w:rPr>
          <w:rFonts w:cs="Times New Roman"/>
          <w:szCs w:val="28"/>
        </w:rPr>
        <w:t xml:space="preserve"> </w:t>
      </w:r>
    </w:p>
    <w:p w14:paraId="4F2AB1E7" w14:textId="0473AB17" w:rsidR="00A73466" w:rsidRPr="00A73466" w:rsidRDefault="00A73466" w:rsidP="00A73466">
      <w:pPr>
        <w:ind w:firstLine="0"/>
        <w:rPr>
          <w:rFonts w:cs="Times New Roman"/>
          <w:szCs w:val="28"/>
        </w:rPr>
      </w:pPr>
      <w:r w:rsidRPr="00A73466">
        <w:rPr>
          <w:rFonts w:cs="Times New Roman"/>
          <w:szCs w:val="28"/>
        </w:rPr>
        <w:t>Ko mēs domājam, runājot par mūžizglītību?  Kādas ir pieaugušo mācīšanās teorijas?</w:t>
      </w:r>
    </w:p>
    <w:p w14:paraId="33F7BD6A" w14:textId="77777777" w:rsidR="00A73466" w:rsidRPr="00A73466" w:rsidRDefault="00A73466" w:rsidP="00A73466">
      <w:pPr>
        <w:ind w:firstLine="0"/>
        <w:rPr>
          <w:rFonts w:cs="Times New Roman"/>
          <w:szCs w:val="28"/>
        </w:rPr>
      </w:pPr>
      <w:r w:rsidRPr="00A73466">
        <w:rPr>
          <w:rFonts w:cs="Times New Roman"/>
          <w:szCs w:val="28"/>
        </w:rPr>
        <w:t>Ir diezgan daudz dažādu pieaugušo mācīšanās teoriju, taču tās visas sākas ar vienu un to pašu ideju: pieaugušie mācās savādāk nekā bērni.</w:t>
      </w:r>
    </w:p>
    <w:p w14:paraId="422A64D3" w14:textId="77777777" w:rsidR="00A73466" w:rsidRPr="00A73466" w:rsidRDefault="00A73466" w:rsidP="00A73466">
      <w:pPr>
        <w:ind w:firstLine="0"/>
        <w:rPr>
          <w:rFonts w:cs="Times New Roman"/>
          <w:szCs w:val="28"/>
        </w:rPr>
      </w:pPr>
      <w:r w:rsidRPr="00A73466">
        <w:rPr>
          <w:rFonts w:cs="Times New Roman"/>
          <w:szCs w:val="28"/>
        </w:rPr>
        <w:t>Pieaugušo un bērnu mācīšanās atšķiras daudzos svarīgos veidos:</w:t>
      </w:r>
    </w:p>
    <w:p w14:paraId="6F6AB9E8" w14:textId="77777777" w:rsidR="00A73466" w:rsidRPr="00A73466" w:rsidRDefault="00A73466" w:rsidP="00A73466">
      <w:pPr>
        <w:ind w:firstLine="0"/>
        <w:rPr>
          <w:rFonts w:cs="Times New Roman"/>
          <w:szCs w:val="28"/>
        </w:rPr>
      </w:pPr>
      <w:r w:rsidRPr="00A73466">
        <w:rPr>
          <w:rFonts w:cs="Times New Roman"/>
          <w:szCs w:val="28"/>
        </w:rPr>
        <w:t>Pieaugušie parasti ir vairāk motivēti, jo saprot izglītības vērtību un, uzsākot studijas, bieži vien ir iecerējuši stabilu mērķi. Bērniem ir nepieciešams augstāks iesaistīšanās līmenis, jo viņi ir mazāk dabiski motivēti mācību situācijās. Pieaugušie daudz vairāk spēj patstāvīgi risināt problēmas un apgūt jaunas koncepcijas, savukārt bērniem ir lielāka vajadzība pēc virzīšanas.</w:t>
      </w:r>
    </w:p>
    <w:p w14:paraId="6C6AEF84" w14:textId="64775756" w:rsidR="00A73466" w:rsidRPr="00A73466" w:rsidRDefault="00A73466" w:rsidP="00A73466">
      <w:pPr>
        <w:ind w:firstLine="0"/>
        <w:rPr>
          <w:rFonts w:cs="Times New Roman"/>
          <w:szCs w:val="28"/>
        </w:rPr>
      </w:pPr>
      <w:r w:rsidRPr="00A73466">
        <w:rPr>
          <w:rFonts w:cs="Times New Roman"/>
          <w:szCs w:val="28"/>
        </w:rPr>
        <w:t>Pieaugušo mācīšanās teorijas izceļ faktu, ka apmācības programmas ir jāizstrādā, ņemot vērā pieaugušo v</w:t>
      </w:r>
      <w:r>
        <w:rPr>
          <w:rFonts w:cs="Times New Roman"/>
          <w:szCs w:val="28"/>
        </w:rPr>
        <w:t>a</w:t>
      </w:r>
      <w:r w:rsidRPr="00A73466">
        <w:rPr>
          <w:rFonts w:cs="Times New Roman"/>
          <w:szCs w:val="28"/>
        </w:rPr>
        <w:t xml:space="preserve">jadzības, lai tās būtu efektīvas. Nav vienas vienotas pieaugušo izglītības teorijas, tomēr ir dažādas teorijas, kas atbilst dažādu organizāciju vajadzībām. </w:t>
      </w:r>
    </w:p>
    <w:p w14:paraId="5D738D11" w14:textId="77777777" w:rsidR="00A73466" w:rsidRPr="00A73466" w:rsidRDefault="00A73466" w:rsidP="00A73466">
      <w:pPr>
        <w:ind w:firstLine="0"/>
        <w:rPr>
          <w:rFonts w:cs="Times New Roman"/>
          <w:b/>
          <w:bCs/>
          <w:szCs w:val="28"/>
        </w:rPr>
      </w:pPr>
      <w:r w:rsidRPr="00A73466">
        <w:rPr>
          <w:rFonts w:cs="Times New Roman"/>
          <w:b/>
          <w:bCs/>
          <w:szCs w:val="28"/>
        </w:rPr>
        <w:t>Pieaugušo mācīšanās teorijas:</w:t>
      </w:r>
    </w:p>
    <w:p w14:paraId="34F7B798" w14:textId="77777777" w:rsidR="00A73466" w:rsidRPr="00A73466" w:rsidRDefault="00A73466" w:rsidP="00A73466">
      <w:pPr>
        <w:ind w:firstLine="0"/>
        <w:rPr>
          <w:rFonts w:cs="Times New Roman"/>
          <w:szCs w:val="28"/>
        </w:rPr>
      </w:pPr>
      <w:r w:rsidRPr="00A73466">
        <w:rPr>
          <w:rFonts w:cs="Times New Roman"/>
          <w:szCs w:val="28"/>
        </w:rPr>
        <w:t>Andragoģija</w:t>
      </w:r>
    </w:p>
    <w:p w14:paraId="1E4B03B5" w14:textId="77777777" w:rsidR="00A73466" w:rsidRPr="00A73466" w:rsidRDefault="00A73466" w:rsidP="00A73466">
      <w:pPr>
        <w:ind w:firstLine="0"/>
        <w:rPr>
          <w:rFonts w:cs="Times New Roman"/>
          <w:szCs w:val="28"/>
        </w:rPr>
      </w:pPr>
      <w:r w:rsidRPr="00A73466">
        <w:rPr>
          <w:rFonts w:cs="Times New Roman"/>
          <w:szCs w:val="28"/>
        </w:rPr>
        <w:t>Pašmācība</w:t>
      </w:r>
    </w:p>
    <w:p w14:paraId="3EDA0727" w14:textId="77777777" w:rsidR="00A73466" w:rsidRPr="00A73466" w:rsidRDefault="00A73466" w:rsidP="00A73466">
      <w:pPr>
        <w:ind w:firstLine="0"/>
        <w:rPr>
          <w:rFonts w:cs="Times New Roman"/>
          <w:szCs w:val="28"/>
        </w:rPr>
      </w:pPr>
      <w:r w:rsidRPr="00A73466">
        <w:rPr>
          <w:rFonts w:cs="Times New Roman"/>
          <w:szCs w:val="28"/>
        </w:rPr>
        <w:t>Pārveidojoša mācīšanās</w:t>
      </w:r>
    </w:p>
    <w:p w14:paraId="4D51392F" w14:textId="77777777" w:rsidR="00A73466" w:rsidRPr="00A73466" w:rsidRDefault="00A73466" w:rsidP="00A73466">
      <w:pPr>
        <w:ind w:firstLine="0"/>
        <w:rPr>
          <w:rFonts w:cs="Times New Roman"/>
          <w:szCs w:val="28"/>
        </w:rPr>
      </w:pPr>
      <w:r w:rsidRPr="00A73466">
        <w:rPr>
          <w:rFonts w:cs="Times New Roman"/>
          <w:szCs w:val="28"/>
        </w:rPr>
        <w:t>Pieredzes apgūšana</w:t>
      </w:r>
    </w:p>
    <w:p w14:paraId="400BADFF" w14:textId="77777777" w:rsidR="00A73466" w:rsidRPr="00A73466" w:rsidRDefault="00A73466" w:rsidP="00A73466">
      <w:pPr>
        <w:ind w:firstLine="0"/>
        <w:rPr>
          <w:rFonts w:cs="Times New Roman"/>
          <w:szCs w:val="28"/>
        </w:rPr>
      </w:pPr>
      <w:r w:rsidRPr="00A73466">
        <w:rPr>
          <w:rFonts w:cs="Times New Roman"/>
          <w:szCs w:val="28"/>
        </w:rPr>
        <w:t xml:space="preserve">Uz projektu balstīta mācīšanās, </w:t>
      </w:r>
    </w:p>
    <w:p w14:paraId="1B1ED506" w14:textId="77777777" w:rsidR="00A73466" w:rsidRPr="00A73466" w:rsidRDefault="00A73466" w:rsidP="00A73466">
      <w:pPr>
        <w:ind w:firstLine="0"/>
        <w:rPr>
          <w:rFonts w:cs="Times New Roman"/>
          <w:szCs w:val="28"/>
        </w:rPr>
      </w:pPr>
      <w:r w:rsidRPr="00A73466">
        <w:rPr>
          <w:rFonts w:cs="Times New Roman"/>
          <w:szCs w:val="28"/>
        </w:rPr>
        <w:lastRenderedPageBreak/>
        <w:t>Mācīšanās darbojoties,</w:t>
      </w:r>
    </w:p>
    <w:p w14:paraId="08DF024D" w14:textId="77777777" w:rsidR="00A73466" w:rsidRPr="00A73466" w:rsidRDefault="00A73466" w:rsidP="00A73466">
      <w:pPr>
        <w:ind w:firstLine="0"/>
        <w:rPr>
          <w:rFonts w:cs="Times New Roman"/>
          <w:szCs w:val="28"/>
        </w:rPr>
      </w:pPr>
      <w:r w:rsidRPr="00A73466">
        <w:rPr>
          <w:rFonts w:cs="Times New Roman"/>
          <w:szCs w:val="28"/>
        </w:rPr>
        <w:t>Biheiviorisms</w:t>
      </w:r>
    </w:p>
    <w:p w14:paraId="6E680382" w14:textId="77777777" w:rsidR="00A73466" w:rsidRPr="00A73466" w:rsidRDefault="00A73466" w:rsidP="00A73466">
      <w:pPr>
        <w:ind w:firstLine="0"/>
        <w:rPr>
          <w:rFonts w:cs="Times New Roman"/>
          <w:szCs w:val="28"/>
        </w:rPr>
      </w:pPr>
      <w:proofErr w:type="spellStart"/>
      <w:r w:rsidRPr="00A73466">
        <w:rPr>
          <w:rFonts w:cs="Times New Roman"/>
          <w:szCs w:val="28"/>
        </w:rPr>
        <w:t>Kognitīvisms</w:t>
      </w:r>
      <w:proofErr w:type="spellEnd"/>
    </w:p>
    <w:p w14:paraId="275B93A1" w14:textId="77777777" w:rsidR="00A73466" w:rsidRPr="00A73466" w:rsidRDefault="00A73466" w:rsidP="00A73466">
      <w:pPr>
        <w:ind w:firstLine="0"/>
        <w:rPr>
          <w:rFonts w:cs="Times New Roman"/>
          <w:szCs w:val="28"/>
        </w:rPr>
      </w:pPr>
      <w:r w:rsidRPr="00A73466">
        <w:rPr>
          <w:rFonts w:cs="Times New Roman"/>
          <w:szCs w:val="28"/>
        </w:rPr>
        <w:t>Konstruktīvisms</w:t>
      </w:r>
    </w:p>
    <w:p w14:paraId="7F3B55A3" w14:textId="77777777" w:rsidR="00A73466" w:rsidRPr="00A73466" w:rsidRDefault="00A73466" w:rsidP="00A73466">
      <w:pPr>
        <w:ind w:firstLine="0"/>
        <w:rPr>
          <w:rFonts w:cs="Times New Roman"/>
          <w:szCs w:val="28"/>
        </w:rPr>
      </w:pPr>
      <w:r w:rsidRPr="00A73466">
        <w:rPr>
          <w:rFonts w:cs="Times New Roman"/>
          <w:szCs w:val="28"/>
        </w:rPr>
        <w:t>Sociālās mācīšanās teorija</w:t>
      </w:r>
    </w:p>
    <w:p w14:paraId="2251395D" w14:textId="515E711B" w:rsidR="00A73466" w:rsidRPr="00A73466" w:rsidRDefault="00A73466" w:rsidP="00A73466">
      <w:pPr>
        <w:ind w:firstLine="0"/>
        <w:rPr>
          <w:rFonts w:cs="Times New Roman"/>
          <w:b/>
          <w:szCs w:val="28"/>
        </w:rPr>
      </w:pPr>
      <w:r w:rsidRPr="00A73466">
        <w:rPr>
          <w:rFonts w:cs="Times New Roman"/>
          <w:b/>
          <w:szCs w:val="28"/>
        </w:rPr>
        <w:t>Pieaugušo mācīšanās principi</w:t>
      </w:r>
    </w:p>
    <w:p w14:paraId="21127509" w14:textId="77777777" w:rsidR="00A73466" w:rsidRPr="00A73466" w:rsidRDefault="00A73466" w:rsidP="00A73466">
      <w:pPr>
        <w:ind w:firstLine="0"/>
        <w:rPr>
          <w:rFonts w:cs="Times New Roman"/>
          <w:szCs w:val="28"/>
        </w:rPr>
      </w:pPr>
      <w:r w:rsidRPr="00A73466">
        <w:rPr>
          <w:rFonts w:cs="Times New Roman"/>
          <w:szCs w:val="28"/>
        </w:rPr>
        <w:t>Lai efektīvi nodotu informāciju organizācijā, izmantojot īpašu apmācības programmu vai vispārīgāku organizētu mācīšanos, ir jāizmanto pieaugušo izglītības principi..</w:t>
      </w:r>
    </w:p>
    <w:p w14:paraId="6B01267E" w14:textId="2F26041B" w:rsidR="00A73466" w:rsidRPr="00A73466" w:rsidRDefault="00A73466" w:rsidP="00A73466">
      <w:pPr>
        <w:ind w:firstLine="0"/>
        <w:rPr>
          <w:rFonts w:cs="Times New Roman"/>
          <w:szCs w:val="28"/>
        </w:rPr>
      </w:pPr>
      <w:r w:rsidRPr="00A73466">
        <w:rPr>
          <w:rFonts w:cs="Times New Roman"/>
          <w:szCs w:val="28"/>
        </w:rPr>
        <w:t>Pieaugušie mācās savādāk nekā bērni, un organizācijas, kas veiksmīgi īsteno šos principus, gūs veiksmi šajā jomā.</w:t>
      </w:r>
    </w:p>
    <w:p w14:paraId="262E9AC6" w14:textId="77777777" w:rsidR="00A73466" w:rsidRPr="00A73466" w:rsidRDefault="00A73466" w:rsidP="00A73466">
      <w:pPr>
        <w:ind w:firstLine="0"/>
        <w:rPr>
          <w:rFonts w:cs="Times New Roman"/>
          <w:szCs w:val="28"/>
        </w:rPr>
      </w:pPr>
      <w:r w:rsidRPr="00A73466">
        <w:rPr>
          <w:rFonts w:cs="Times New Roman"/>
          <w:szCs w:val="28"/>
        </w:rPr>
        <w:t xml:space="preserve">Kā minēts iepriekš, līdztekus šiem principiem pastāv dažādas pieaugušo mācīšanās teorijas, kas var palīdzēt organizācijām uzlabot savas mācību programmas. </w:t>
      </w:r>
    </w:p>
    <w:p w14:paraId="0E173B1C" w14:textId="77777777" w:rsidR="00A73466" w:rsidRPr="00A73466" w:rsidRDefault="00A73466" w:rsidP="00A73466">
      <w:pPr>
        <w:ind w:firstLine="0"/>
        <w:rPr>
          <w:rFonts w:cs="Times New Roman"/>
          <w:b/>
          <w:bCs/>
          <w:i/>
          <w:szCs w:val="28"/>
        </w:rPr>
      </w:pPr>
      <w:r w:rsidRPr="00A73466">
        <w:rPr>
          <w:rFonts w:cs="Times New Roman"/>
          <w:b/>
          <w:bCs/>
          <w:i/>
          <w:szCs w:val="28"/>
        </w:rPr>
        <w:t>Pieaugušo mācīšanās principi:</w:t>
      </w:r>
    </w:p>
    <w:p w14:paraId="2C43521A" w14:textId="77777777" w:rsidR="00A73466" w:rsidRPr="00A73466" w:rsidRDefault="00A73466" w:rsidP="00A73466">
      <w:pPr>
        <w:ind w:firstLine="0"/>
        <w:rPr>
          <w:rFonts w:cs="Times New Roman"/>
          <w:i/>
          <w:szCs w:val="28"/>
        </w:rPr>
      </w:pPr>
      <w:r w:rsidRPr="00A73466">
        <w:rPr>
          <w:rFonts w:cs="Times New Roman"/>
          <w:i/>
          <w:szCs w:val="28"/>
        </w:rPr>
        <w:t>Pieaugušajiem ir augstāka pašnovērtējuma un motivācijas izjūta</w:t>
      </w:r>
    </w:p>
    <w:p w14:paraId="2DB17A60" w14:textId="77777777" w:rsidR="00A73466" w:rsidRPr="00A73466" w:rsidRDefault="00A73466" w:rsidP="00A73466">
      <w:pPr>
        <w:ind w:firstLine="0"/>
        <w:rPr>
          <w:rFonts w:cs="Times New Roman"/>
          <w:i/>
          <w:szCs w:val="28"/>
        </w:rPr>
      </w:pPr>
      <w:r w:rsidRPr="00A73466">
        <w:rPr>
          <w:rFonts w:cs="Times New Roman"/>
          <w:i/>
          <w:szCs w:val="28"/>
        </w:rPr>
        <w:t>Pieaugušie izmanto savu dzīves pieredzi, lai atvieglotu mācīšanos</w:t>
      </w:r>
    </w:p>
    <w:p w14:paraId="0CB080EE" w14:textId="77777777" w:rsidR="00A73466" w:rsidRPr="00A73466" w:rsidRDefault="00A73466" w:rsidP="00A73466">
      <w:pPr>
        <w:ind w:firstLine="0"/>
        <w:rPr>
          <w:rFonts w:cs="Times New Roman"/>
          <w:i/>
          <w:szCs w:val="28"/>
        </w:rPr>
      </w:pPr>
      <w:r w:rsidRPr="00A73466">
        <w:rPr>
          <w:rFonts w:cs="Times New Roman"/>
          <w:i/>
          <w:szCs w:val="28"/>
        </w:rPr>
        <w:t>Pieaugušie koncentrējas uz mērķu sasniegšanu</w:t>
      </w:r>
    </w:p>
    <w:p w14:paraId="6A4EEBF2" w14:textId="77777777" w:rsidR="00A73466" w:rsidRPr="00A73466" w:rsidRDefault="00A73466" w:rsidP="00A73466">
      <w:pPr>
        <w:ind w:firstLine="0"/>
        <w:rPr>
          <w:rFonts w:cs="Times New Roman"/>
          <w:i/>
          <w:szCs w:val="28"/>
        </w:rPr>
      </w:pPr>
      <w:r w:rsidRPr="00A73466">
        <w:rPr>
          <w:rFonts w:cs="Times New Roman"/>
          <w:i/>
          <w:szCs w:val="28"/>
        </w:rPr>
        <w:t>Pieaugušajiem ir jāzina, kā informācija ir atbilstoša</w:t>
      </w:r>
    </w:p>
    <w:p w14:paraId="70BE99AC" w14:textId="77777777" w:rsidR="00A73466" w:rsidRPr="00A73466" w:rsidRDefault="00A73466" w:rsidP="00A73466">
      <w:pPr>
        <w:ind w:firstLine="0"/>
        <w:rPr>
          <w:rFonts w:cs="Times New Roman"/>
          <w:i/>
          <w:szCs w:val="28"/>
        </w:rPr>
      </w:pPr>
      <w:r w:rsidRPr="00A73466">
        <w:rPr>
          <w:rFonts w:cs="Times New Roman"/>
          <w:i/>
          <w:szCs w:val="28"/>
        </w:rPr>
        <w:t>Pieaugušie ir praktiski</w:t>
      </w:r>
    </w:p>
    <w:p w14:paraId="5B1A57DD" w14:textId="77777777" w:rsidR="00A73466" w:rsidRPr="00A73466" w:rsidRDefault="00A73466" w:rsidP="00A73466">
      <w:pPr>
        <w:ind w:firstLine="0"/>
        <w:rPr>
          <w:rFonts w:cs="Times New Roman"/>
          <w:i/>
          <w:szCs w:val="28"/>
        </w:rPr>
      </w:pPr>
      <w:r w:rsidRPr="00A73466">
        <w:rPr>
          <w:rFonts w:cs="Times New Roman"/>
          <w:i/>
          <w:szCs w:val="28"/>
        </w:rPr>
        <w:t>Pieaugušie meklē palīdzību un konsultācijas</w:t>
      </w:r>
    </w:p>
    <w:p w14:paraId="1CA9A735" w14:textId="2832B21C" w:rsidR="00A73466" w:rsidRPr="00A73466" w:rsidRDefault="00A73466" w:rsidP="00A73466">
      <w:pPr>
        <w:ind w:firstLine="0"/>
        <w:rPr>
          <w:rFonts w:cs="Times New Roman"/>
          <w:szCs w:val="28"/>
        </w:rPr>
      </w:pPr>
      <w:r w:rsidRPr="00A73466">
        <w:rPr>
          <w:rFonts w:cs="Times New Roman"/>
          <w:i/>
          <w:szCs w:val="28"/>
        </w:rPr>
        <w:t xml:space="preserve">Pieaugušie ir atvērti mūsdienu </w:t>
      </w:r>
      <w:proofErr w:type="spellStart"/>
      <w:r>
        <w:rPr>
          <w:rFonts w:cs="Times New Roman"/>
          <w:i/>
          <w:szCs w:val="28"/>
        </w:rPr>
        <w:t>metodem</w:t>
      </w:r>
      <w:proofErr w:type="spellEnd"/>
    </w:p>
    <w:p w14:paraId="338061A3" w14:textId="77777777" w:rsidR="00A73466" w:rsidRPr="00A73466" w:rsidRDefault="00AB5E86" w:rsidP="00A73466">
      <w:pPr>
        <w:ind w:firstLine="0"/>
        <w:rPr>
          <w:rFonts w:cs="Times New Roman"/>
          <w:szCs w:val="28"/>
        </w:rPr>
      </w:pPr>
      <w:hyperlink r:id="rId9" w:history="1">
        <w:r w:rsidR="00A73466" w:rsidRPr="00A73466">
          <w:rPr>
            <w:rStyle w:val="Hyperlink"/>
            <w:rFonts w:cs="Times New Roman"/>
            <w:szCs w:val="28"/>
          </w:rPr>
          <w:t>https://www.valamis.com/hub/adult-learning-principles</w:t>
        </w:r>
      </w:hyperlink>
    </w:p>
    <w:p w14:paraId="5F2E8BB2" w14:textId="77777777" w:rsidR="00A73466" w:rsidRPr="00A73466" w:rsidRDefault="00A73466" w:rsidP="00A73466">
      <w:pPr>
        <w:ind w:firstLine="0"/>
        <w:rPr>
          <w:rFonts w:cs="Times New Roman"/>
          <w:szCs w:val="28"/>
        </w:rPr>
      </w:pPr>
    </w:p>
    <w:p w14:paraId="17B21192" w14:textId="77777777" w:rsidR="00A73466" w:rsidRPr="00A73466" w:rsidRDefault="00A73466" w:rsidP="00A73466">
      <w:pPr>
        <w:ind w:firstLine="0"/>
        <w:rPr>
          <w:rFonts w:cs="Times New Roman"/>
          <w:b/>
          <w:bCs/>
          <w:color w:val="FF0000"/>
          <w:szCs w:val="28"/>
        </w:rPr>
      </w:pPr>
      <w:r w:rsidRPr="00A73466">
        <w:rPr>
          <w:rFonts w:cs="Times New Roman"/>
          <w:b/>
          <w:bCs/>
          <w:color w:val="FF0000"/>
          <w:szCs w:val="28"/>
        </w:rPr>
        <w:t>-  Triju valstu mūžizglītības stratēģijas (kopsavilkums)</w:t>
      </w:r>
    </w:p>
    <w:p w14:paraId="66851CF7" w14:textId="77777777" w:rsidR="00D85149" w:rsidRPr="00D85149" w:rsidRDefault="00D85149" w:rsidP="00D85149">
      <w:pPr>
        <w:ind w:firstLine="0"/>
        <w:rPr>
          <w:rFonts w:cs="Times New Roman"/>
          <w:b/>
          <w:szCs w:val="28"/>
        </w:rPr>
      </w:pPr>
      <w:r w:rsidRPr="00D85149">
        <w:rPr>
          <w:rFonts w:cs="Times New Roman"/>
          <w:b/>
          <w:szCs w:val="28"/>
        </w:rPr>
        <w:t>Igaunijas mūžizglītības stratēģijas kopsavilkums</w:t>
      </w:r>
    </w:p>
    <w:p w14:paraId="1BB51B7B" w14:textId="77777777" w:rsidR="00D85149" w:rsidRPr="00D85149" w:rsidRDefault="00D85149" w:rsidP="00D85149">
      <w:pPr>
        <w:ind w:firstLine="0"/>
        <w:rPr>
          <w:rFonts w:cs="Times New Roman"/>
          <w:b/>
          <w:szCs w:val="28"/>
        </w:rPr>
      </w:pPr>
      <w:r w:rsidRPr="00D85149">
        <w:rPr>
          <w:rFonts w:cs="Times New Roman"/>
          <w:b/>
          <w:szCs w:val="28"/>
        </w:rPr>
        <w:t>https://www.hm.ee/sites/default/files/estonian_lifelong_strategy.pdf</w:t>
      </w:r>
    </w:p>
    <w:p w14:paraId="0DEBF8CE" w14:textId="77777777" w:rsidR="00D85149" w:rsidRPr="00D85149" w:rsidRDefault="00D85149" w:rsidP="00D85149">
      <w:pPr>
        <w:ind w:firstLine="0"/>
        <w:rPr>
          <w:rFonts w:cs="Times New Roman"/>
          <w:b/>
          <w:szCs w:val="28"/>
        </w:rPr>
      </w:pPr>
    </w:p>
    <w:p w14:paraId="30B4B660" w14:textId="77777777" w:rsidR="00D85149" w:rsidRPr="00D85149" w:rsidRDefault="00D85149" w:rsidP="00D85149">
      <w:pPr>
        <w:ind w:firstLine="0"/>
        <w:rPr>
          <w:rFonts w:cs="Times New Roman"/>
          <w:b/>
          <w:szCs w:val="28"/>
        </w:rPr>
      </w:pPr>
      <w:r w:rsidRPr="00D85149">
        <w:rPr>
          <w:rFonts w:cs="Times New Roman"/>
          <w:b/>
          <w:szCs w:val="28"/>
        </w:rPr>
        <w:t xml:space="preserve">  Latvijas mūžizglītības  stratēģija</w:t>
      </w:r>
    </w:p>
    <w:p w14:paraId="1FC55BEA" w14:textId="77777777" w:rsidR="00D85149" w:rsidRPr="00D85149" w:rsidRDefault="00D85149" w:rsidP="00D85149">
      <w:pPr>
        <w:ind w:firstLine="0"/>
        <w:rPr>
          <w:rFonts w:cs="Times New Roman"/>
          <w:b/>
          <w:szCs w:val="28"/>
        </w:rPr>
      </w:pPr>
      <w:hyperlink r:id="rId10" w:history="1">
        <w:r w:rsidRPr="00D85149">
          <w:rPr>
            <w:rStyle w:val="Hyperlink"/>
            <w:rFonts w:cs="Times New Roman"/>
            <w:szCs w:val="28"/>
          </w:rPr>
          <w:t>https://likumi.lv/ta/id/281992?&amp;search=on</w:t>
        </w:r>
      </w:hyperlink>
    </w:p>
    <w:p w14:paraId="7163EE15" w14:textId="77777777" w:rsidR="00D85149" w:rsidRPr="00D85149" w:rsidRDefault="00D85149" w:rsidP="00D85149">
      <w:pPr>
        <w:ind w:firstLine="0"/>
        <w:rPr>
          <w:rFonts w:cs="Times New Roman"/>
          <w:b/>
          <w:szCs w:val="28"/>
        </w:rPr>
      </w:pPr>
      <w:r w:rsidRPr="00D85149">
        <w:rPr>
          <w:rFonts w:cs="Times New Roman"/>
          <w:b/>
          <w:szCs w:val="28"/>
        </w:rPr>
        <w:t xml:space="preserve">  Lietuvas </w:t>
      </w:r>
      <w:proofErr w:type="spellStart"/>
      <w:r w:rsidRPr="00D85149">
        <w:rPr>
          <w:rFonts w:cs="Times New Roman"/>
          <w:b/>
          <w:szCs w:val="28"/>
        </w:rPr>
        <w:t>mūžiglītības</w:t>
      </w:r>
      <w:proofErr w:type="spellEnd"/>
      <w:r w:rsidRPr="00D85149">
        <w:rPr>
          <w:rFonts w:cs="Times New Roman"/>
          <w:b/>
          <w:szCs w:val="28"/>
        </w:rPr>
        <w:t xml:space="preserve"> stratēģija</w:t>
      </w:r>
    </w:p>
    <w:p w14:paraId="21B17FCF" w14:textId="77777777" w:rsidR="00D85149" w:rsidRPr="00D85149" w:rsidRDefault="00D85149" w:rsidP="00D85149">
      <w:pPr>
        <w:ind w:firstLine="0"/>
        <w:rPr>
          <w:rFonts w:cs="Times New Roman"/>
          <w:szCs w:val="28"/>
        </w:rPr>
      </w:pPr>
      <w:proofErr w:type="spellStart"/>
      <w:r w:rsidRPr="00D85149">
        <w:rPr>
          <w:rFonts w:cs="Times New Roman"/>
          <w:b/>
          <w:szCs w:val="28"/>
        </w:rPr>
        <w:t>Piemērs:NVO</w:t>
      </w:r>
      <w:proofErr w:type="spellEnd"/>
      <w:r w:rsidRPr="00D85149">
        <w:rPr>
          <w:rFonts w:cs="Times New Roman"/>
          <w:b/>
          <w:szCs w:val="28"/>
        </w:rPr>
        <w:t xml:space="preserve"> 65B </w:t>
      </w:r>
      <w:proofErr w:type="spellStart"/>
      <w:r w:rsidRPr="00D85149">
        <w:rPr>
          <w:rFonts w:cs="Times New Roman"/>
          <w:b/>
          <w:szCs w:val="28"/>
        </w:rPr>
        <w:t>in</w:t>
      </w:r>
      <w:proofErr w:type="spellEnd"/>
      <w:r w:rsidRPr="00D85149">
        <w:rPr>
          <w:rFonts w:cs="Times New Roman"/>
          <w:b/>
          <w:szCs w:val="28"/>
        </w:rPr>
        <w:t xml:space="preserve"> Igaunijā (</w:t>
      </w:r>
      <w:r w:rsidRPr="00D85149">
        <w:rPr>
          <w:rFonts w:cs="Times New Roman"/>
          <w:szCs w:val="28"/>
        </w:rPr>
        <w:t xml:space="preserve">reģistrēta 21.10.2015); 65B MTÜ </w:t>
      </w:r>
      <w:proofErr w:type="spellStart"/>
      <w:r w:rsidRPr="00D85149">
        <w:rPr>
          <w:rFonts w:cs="Times New Roman"/>
          <w:szCs w:val="28"/>
        </w:rPr>
        <w:t>on</w:t>
      </w:r>
      <w:proofErr w:type="spellEnd"/>
      <w:r w:rsidRPr="00D85149">
        <w:rPr>
          <w:rFonts w:cs="Times New Roman"/>
          <w:szCs w:val="28"/>
        </w:rPr>
        <w:t xml:space="preserve"> </w:t>
      </w:r>
      <w:proofErr w:type="spellStart"/>
      <w:r w:rsidRPr="00D85149">
        <w:rPr>
          <w:rFonts w:cs="Times New Roman"/>
          <w:szCs w:val="28"/>
        </w:rPr>
        <w:t>registreeritud</w:t>
      </w:r>
      <w:proofErr w:type="spellEnd"/>
      <w:r w:rsidRPr="00D85149">
        <w:rPr>
          <w:rFonts w:cs="Times New Roman"/>
          <w:szCs w:val="28"/>
        </w:rPr>
        <w:t xml:space="preserve"> 21.10.2015</w:t>
      </w:r>
    </w:p>
    <w:p w14:paraId="3180FC7F" w14:textId="77777777" w:rsidR="00D85149" w:rsidRPr="00D85149" w:rsidRDefault="00D85149" w:rsidP="00D85149">
      <w:pPr>
        <w:ind w:firstLine="0"/>
        <w:rPr>
          <w:rFonts w:cs="Times New Roman"/>
          <w:szCs w:val="28"/>
        </w:rPr>
      </w:pPr>
      <w:r w:rsidRPr="00D85149">
        <w:rPr>
          <w:rFonts w:cs="Times New Roman"/>
          <w:szCs w:val="28"/>
        </w:rPr>
        <w:lastRenderedPageBreak/>
        <w:t>https://65b.weebly.com/meist.html</w:t>
      </w:r>
    </w:p>
    <w:p w14:paraId="3C6354E0" w14:textId="77777777" w:rsidR="00D85149" w:rsidRPr="00D85149" w:rsidRDefault="00D85149" w:rsidP="00D85149">
      <w:pPr>
        <w:pStyle w:val="ListParagraph"/>
        <w:numPr>
          <w:ilvl w:val="0"/>
          <w:numId w:val="3"/>
        </w:numPr>
        <w:rPr>
          <w:rFonts w:cs="Times New Roman"/>
          <w:b/>
          <w:szCs w:val="28"/>
        </w:rPr>
      </w:pPr>
      <w:r w:rsidRPr="00D85149">
        <w:rPr>
          <w:rFonts w:cs="Times New Roman"/>
          <w:b/>
          <w:szCs w:val="28"/>
        </w:rPr>
        <w:t>E-žurnāls "</w:t>
      </w:r>
      <w:proofErr w:type="spellStart"/>
      <w:r w:rsidRPr="00D85149">
        <w:rPr>
          <w:rFonts w:cs="Times New Roman"/>
          <w:b/>
          <w:szCs w:val="28"/>
        </w:rPr>
        <w:t>Wallpaper</w:t>
      </w:r>
      <w:proofErr w:type="spellEnd"/>
      <w:r w:rsidRPr="00D85149">
        <w:rPr>
          <w:rFonts w:cs="Times New Roman"/>
          <w:b/>
          <w:szCs w:val="28"/>
        </w:rPr>
        <w:t>" Igaunijā (10 numuri)</w:t>
      </w:r>
    </w:p>
    <w:p w14:paraId="49BBECD1" w14:textId="66FFDDE1" w:rsidR="00D85149" w:rsidRPr="00D85149" w:rsidRDefault="00D85149" w:rsidP="00D85149">
      <w:pPr>
        <w:pStyle w:val="ListParagraph"/>
        <w:numPr>
          <w:ilvl w:val="0"/>
          <w:numId w:val="3"/>
        </w:numPr>
        <w:rPr>
          <w:rFonts w:cs="Times New Roman"/>
          <w:b/>
          <w:szCs w:val="28"/>
        </w:rPr>
      </w:pPr>
      <w:r w:rsidRPr="00D85149">
        <w:rPr>
          <w:rFonts w:cs="Times New Roman"/>
          <w:b/>
          <w:szCs w:val="28"/>
        </w:rPr>
        <w:t xml:space="preserve">Darba grāmata </w:t>
      </w:r>
      <w:proofErr w:type="spellStart"/>
      <w:r w:rsidRPr="00D85149">
        <w:rPr>
          <w:rFonts w:cs="Times New Roman"/>
          <w:b/>
          <w:szCs w:val="28"/>
        </w:rPr>
        <w:t>Särts</w:t>
      </w:r>
      <w:proofErr w:type="spellEnd"/>
      <w:r w:rsidRPr="00D85149">
        <w:rPr>
          <w:rFonts w:cs="Times New Roman"/>
          <w:b/>
          <w:szCs w:val="28"/>
        </w:rPr>
        <w:t xml:space="preserve"> (</w:t>
      </w:r>
      <w:proofErr w:type="spellStart"/>
      <w:r w:rsidRPr="00D85149">
        <w:rPr>
          <w:rFonts w:cs="Times New Roman"/>
          <w:b/>
          <w:szCs w:val="28"/>
        </w:rPr>
        <w:t>Get-up</w:t>
      </w:r>
      <w:proofErr w:type="spellEnd"/>
      <w:r w:rsidRPr="00D85149">
        <w:rPr>
          <w:rFonts w:cs="Times New Roman"/>
          <w:b/>
          <w:szCs w:val="28"/>
        </w:rPr>
        <w:t xml:space="preserve"> </w:t>
      </w:r>
      <w:proofErr w:type="spellStart"/>
      <w:r w:rsidRPr="00D85149">
        <w:rPr>
          <w:rFonts w:cs="Times New Roman"/>
          <w:b/>
          <w:szCs w:val="28"/>
        </w:rPr>
        <w:t>and-go</w:t>
      </w:r>
      <w:proofErr w:type="spellEnd"/>
      <w:r w:rsidRPr="00D85149">
        <w:rPr>
          <w:rFonts w:cs="Times New Roman"/>
          <w:b/>
          <w:szCs w:val="28"/>
        </w:rPr>
        <w:t>) (</w:t>
      </w:r>
      <w:hyperlink r:id="rId11" w:history="1">
        <w:r w:rsidRPr="00D85149">
          <w:rPr>
            <w:rStyle w:val="Hyperlink"/>
            <w:rFonts w:cs="Times New Roman"/>
            <w:b/>
            <w:szCs w:val="28"/>
          </w:rPr>
          <w:t>https://65b.weebly.com/saumlrts.html</w:t>
        </w:r>
      </w:hyperlink>
      <w:r w:rsidRPr="00D85149">
        <w:rPr>
          <w:rFonts w:cs="Times New Roman"/>
          <w:b/>
          <w:szCs w:val="28"/>
        </w:rPr>
        <w:t xml:space="preserve">); </w:t>
      </w:r>
      <w:proofErr w:type="spellStart"/>
      <w:r w:rsidRPr="00D85149">
        <w:rPr>
          <w:rFonts w:cs="Times New Roman"/>
          <w:b/>
          <w:szCs w:val="28"/>
        </w:rPr>
        <w:t>Särts</w:t>
      </w:r>
      <w:proofErr w:type="spellEnd"/>
      <w:r w:rsidRPr="00D85149">
        <w:rPr>
          <w:rFonts w:cs="Times New Roman"/>
          <w:b/>
          <w:szCs w:val="28"/>
        </w:rPr>
        <w:t xml:space="preserve"> = </w:t>
      </w:r>
      <w:proofErr w:type="spellStart"/>
      <w:r w:rsidRPr="00D85149">
        <w:rPr>
          <w:rFonts w:cs="Times New Roman"/>
          <w:b/>
          <w:szCs w:val="28"/>
        </w:rPr>
        <w:t>Искорка</w:t>
      </w:r>
      <w:proofErr w:type="spellEnd"/>
      <w:r w:rsidRPr="00D85149">
        <w:rPr>
          <w:rFonts w:cs="Times New Roman"/>
          <w:b/>
          <w:szCs w:val="28"/>
        </w:rPr>
        <w:t xml:space="preserve">: </w:t>
      </w:r>
      <w:proofErr w:type="spellStart"/>
      <w:r w:rsidRPr="00D85149">
        <w:rPr>
          <w:rFonts w:cs="Times New Roman"/>
          <w:b/>
          <w:szCs w:val="28"/>
        </w:rPr>
        <w:t>задания</w:t>
      </w:r>
      <w:proofErr w:type="spellEnd"/>
      <w:r w:rsidRPr="00D85149">
        <w:rPr>
          <w:rFonts w:cs="Times New Roman"/>
          <w:b/>
          <w:szCs w:val="28"/>
        </w:rPr>
        <w:t xml:space="preserve"> </w:t>
      </w:r>
      <w:proofErr w:type="spellStart"/>
      <w:r w:rsidRPr="00D85149">
        <w:rPr>
          <w:rFonts w:cs="Times New Roman"/>
          <w:b/>
          <w:szCs w:val="28"/>
        </w:rPr>
        <w:t>для</w:t>
      </w:r>
      <w:proofErr w:type="spellEnd"/>
      <w:r w:rsidRPr="00D85149">
        <w:rPr>
          <w:rFonts w:cs="Times New Roman"/>
          <w:b/>
          <w:szCs w:val="28"/>
        </w:rPr>
        <w:t xml:space="preserve"> </w:t>
      </w:r>
      <w:proofErr w:type="spellStart"/>
      <w:r w:rsidRPr="00D85149">
        <w:rPr>
          <w:rFonts w:cs="Times New Roman"/>
          <w:b/>
          <w:szCs w:val="28"/>
        </w:rPr>
        <w:t>взрослых</w:t>
      </w:r>
      <w:proofErr w:type="spellEnd"/>
      <w:r w:rsidRPr="00D85149">
        <w:rPr>
          <w:rFonts w:cs="Times New Roman"/>
          <w:b/>
          <w:szCs w:val="28"/>
        </w:rPr>
        <w:t xml:space="preserve"> </w:t>
      </w:r>
      <w:proofErr w:type="spellStart"/>
      <w:r w:rsidRPr="00D85149">
        <w:rPr>
          <w:rFonts w:cs="Times New Roman"/>
          <w:b/>
          <w:szCs w:val="28"/>
        </w:rPr>
        <w:t>совместного</w:t>
      </w:r>
      <w:proofErr w:type="spellEnd"/>
      <w:r w:rsidRPr="00D85149">
        <w:rPr>
          <w:rFonts w:cs="Times New Roman"/>
          <w:b/>
          <w:szCs w:val="28"/>
        </w:rPr>
        <w:t xml:space="preserve"> </w:t>
      </w:r>
      <w:proofErr w:type="spellStart"/>
      <w:r w:rsidRPr="00D85149">
        <w:rPr>
          <w:rFonts w:cs="Times New Roman"/>
          <w:b/>
          <w:szCs w:val="28"/>
        </w:rPr>
        <w:t>решения</w:t>
      </w:r>
      <w:proofErr w:type="spellEnd"/>
      <w:r w:rsidRPr="00D85149">
        <w:rPr>
          <w:rFonts w:cs="Times New Roman"/>
          <w:b/>
          <w:szCs w:val="28"/>
        </w:rPr>
        <w:t xml:space="preserve"> </w:t>
      </w:r>
      <w:proofErr w:type="spellStart"/>
      <w:r w:rsidRPr="00D85149">
        <w:rPr>
          <w:rFonts w:cs="Times New Roman"/>
          <w:b/>
          <w:szCs w:val="28"/>
        </w:rPr>
        <w:t>со</w:t>
      </w:r>
      <w:proofErr w:type="spellEnd"/>
      <w:r w:rsidRPr="00D85149">
        <w:rPr>
          <w:rFonts w:cs="Times New Roman"/>
          <w:b/>
          <w:szCs w:val="28"/>
        </w:rPr>
        <w:t xml:space="preserve"> </w:t>
      </w:r>
      <w:proofErr w:type="spellStart"/>
      <w:r w:rsidRPr="00D85149">
        <w:rPr>
          <w:rFonts w:cs="Times New Roman"/>
          <w:b/>
          <w:szCs w:val="28"/>
        </w:rPr>
        <w:t>своими</w:t>
      </w:r>
      <w:proofErr w:type="spellEnd"/>
      <w:r w:rsidRPr="00D85149">
        <w:rPr>
          <w:rFonts w:cs="Times New Roman"/>
          <w:b/>
          <w:szCs w:val="28"/>
        </w:rPr>
        <w:t xml:space="preserve"> </w:t>
      </w:r>
      <w:proofErr w:type="spellStart"/>
      <w:r w:rsidRPr="00D85149">
        <w:rPr>
          <w:rFonts w:cs="Times New Roman"/>
          <w:b/>
          <w:szCs w:val="28"/>
        </w:rPr>
        <w:t>родителями</w:t>
      </w:r>
      <w:proofErr w:type="spellEnd"/>
      <w:r w:rsidRPr="00D85149">
        <w:rPr>
          <w:rFonts w:cs="Times New Roman"/>
          <w:b/>
          <w:szCs w:val="28"/>
        </w:rPr>
        <w:t xml:space="preserve"> / MTÜ </w:t>
      </w:r>
      <w:proofErr w:type="spellStart"/>
      <w:r w:rsidRPr="00D85149">
        <w:rPr>
          <w:rFonts w:cs="Times New Roman"/>
          <w:b/>
          <w:szCs w:val="28"/>
        </w:rPr>
        <w:t>Seenior</w:t>
      </w:r>
      <w:proofErr w:type="spellEnd"/>
      <w:r w:rsidRPr="00D85149">
        <w:rPr>
          <w:rFonts w:cs="Times New Roman"/>
          <w:b/>
          <w:szCs w:val="28"/>
        </w:rPr>
        <w:t xml:space="preserve">, MTÜ 65B ; </w:t>
      </w:r>
      <w:proofErr w:type="spellStart"/>
      <w:r w:rsidRPr="00D85149">
        <w:rPr>
          <w:rFonts w:cs="Times New Roman"/>
          <w:b/>
          <w:szCs w:val="28"/>
        </w:rPr>
        <w:t>авторы</w:t>
      </w:r>
      <w:proofErr w:type="spellEnd"/>
      <w:r w:rsidRPr="00D85149">
        <w:rPr>
          <w:rFonts w:cs="Times New Roman"/>
          <w:b/>
          <w:szCs w:val="28"/>
        </w:rPr>
        <w:t xml:space="preserve">: </w:t>
      </w:r>
      <w:proofErr w:type="spellStart"/>
      <w:r w:rsidRPr="00D85149">
        <w:rPr>
          <w:rFonts w:cs="Times New Roman"/>
          <w:b/>
          <w:szCs w:val="28"/>
        </w:rPr>
        <w:t>Тийна</w:t>
      </w:r>
      <w:proofErr w:type="spellEnd"/>
      <w:r w:rsidRPr="00D85149">
        <w:rPr>
          <w:rFonts w:cs="Times New Roman"/>
          <w:b/>
          <w:szCs w:val="28"/>
        </w:rPr>
        <w:t xml:space="preserve"> </w:t>
      </w:r>
      <w:proofErr w:type="spellStart"/>
      <w:r w:rsidRPr="00D85149">
        <w:rPr>
          <w:rFonts w:cs="Times New Roman"/>
          <w:b/>
          <w:szCs w:val="28"/>
        </w:rPr>
        <w:t>Тамбаум</w:t>
      </w:r>
      <w:proofErr w:type="spellEnd"/>
      <w:r w:rsidRPr="00D85149">
        <w:rPr>
          <w:rFonts w:cs="Times New Roman"/>
          <w:b/>
          <w:szCs w:val="28"/>
        </w:rPr>
        <w:t xml:space="preserve">, </w:t>
      </w:r>
      <w:proofErr w:type="spellStart"/>
      <w:r w:rsidRPr="00D85149">
        <w:rPr>
          <w:rFonts w:cs="Times New Roman"/>
          <w:b/>
          <w:szCs w:val="28"/>
        </w:rPr>
        <w:t>Ану</w:t>
      </w:r>
      <w:proofErr w:type="spellEnd"/>
      <w:r w:rsidRPr="00D85149">
        <w:rPr>
          <w:rFonts w:cs="Times New Roman"/>
          <w:b/>
          <w:szCs w:val="28"/>
        </w:rPr>
        <w:t xml:space="preserve"> </w:t>
      </w:r>
      <w:proofErr w:type="spellStart"/>
      <w:r w:rsidRPr="00D85149">
        <w:rPr>
          <w:rFonts w:cs="Times New Roman"/>
          <w:b/>
          <w:szCs w:val="28"/>
        </w:rPr>
        <w:t>Йонукс</w:t>
      </w:r>
      <w:proofErr w:type="spellEnd"/>
      <w:r w:rsidRPr="00D85149">
        <w:rPr>
          <w:rFonts w:cs="Times New Roman"/>
          <w:b/>
          <w:szCs w:val="28"/>
        </w:rPr>
        <w:t xml:space="preserve"> ; </w:t>
      </w:r>
      <w:proofErr w:type="spellStart"/>
      <w:r w:rsidRPr="00D85149">
        <w:rPr>
          <w:rFonts w:cs="Times New Roman"/>
          <w:b/>
          <w:szCs w:val="28"/>
        </w:rPr>
        <w:t>иллюстрации</w:t>
      </w:r>
      <w:proofErr w:type="spellEnd"/>
      <w:r w:rsidRPr="00D85149">
        <w:rPr>
          <w:rFonts w:cs="Times New Roman"/>
          <w:b/>
          <w:szCs w:val="28"/>
        </w:rPr>
        <w:t xml:space="preserve">: </w:t>
      </w:r>
      <w:proofErr w:type="spellStart"/>
      <w:r w:rsidRPr="00D85149">
        <w:rPr>
          <w:rFonts w:cs="Times New Roman"/>
          <w:b/>
          <w:szCs w:val="28"/>
        </w:rPr>
        <w:t>Тийна</w:t>
      </w:r>
      <w:proofErr w:type="spellEnd"/>
      <w:r w:rsidRPr="00D85149">
        <w:rPr>
          <w:rFonts w:cs="Times New Roman"/>
          <w:b/>
          <w:szCs w:val="28"/>
        </w:rPr>
        <w:t xml:space="preserve"> </w:t>
      </w:r>
      <w:proofErr w:type="spellStart"/>
      <w:r w:rsidRPr="00D85149">
        <w:rPr>
          <w:rFonts w:cs="Times New Roman"/>
          <w:b/>
          <w:szCs w:val="28"/>
        </w:rPr>
        <w:t>Орав</w:t>
      </w:r>
      <w:proofErr w:type="spellEnd"/>
      <w:r w:rsidRPr="00D85149">
        <w:rPr>
          <w:rFonts w:cs="Times New Roman"/>
          <w:b/>
          <w:szCs w:val="28"/>
        </w:rPr>
        <w:t xml:space="preserve"> ; </w:t>
      </w:r>
      <w:proofErr w:type="spellStart"/>
      <w:r w:rsidRPr="00D85149">
        <w:rPr>
          <w:rFonts w:cs="Times New Roman"/>
          <w:b/>
          <w:szCs w:val="28"/>
        </w:rPr>
        <w:t>перевод</w:t>
      </w:r>
      <w:proofErr w:type="spellEnd"/>
      <w:r w:rsidRPr="00D85149">
        <w:rPr>
          <w:rFonts w:cs="Times New Roman"/>
          <w:b/>
          <w:szCs w:val="28"/>
        </w:rPr>
        <w:t xml:space="preserve">: </w:t>
      </w:r>
      <w:proofErr w:type="spellStart"/>
      <w:r w:rsidRPr="00D85149">
        <w:rPr>
          <w:rFonts w:cs="Times New Roman"/>
          <w:b/>
          <w:szCs w:val="28"/>
        </w:rPr>
        <w:t>Самуил</w:t>
      </w:r>
      <w:proofErr w:type="spellEnd"/>
      <w:r w:rsidRPr="00D85149">
        <w:rPr>
          <w:rFonts w:cs="Times New Roman"/>
          <w:b/>
          <w:szCs w:val="28"/>
        </w:rPr>
        <w:t xml:space="preserve"> </w:t>
      </w:r>
      <w:proofErr w:type="spellStart"/>
      <w:r w:rsidRPr="00D85149">
        <w:rPr>
          <w:rFonts w:cs="Times New Roman"/>
          <w:b/>
          <w:szCs w:val="28"/>
        </w:rPr>
        <w:t>Голомб</w:t>
      </w:r>
      <w:proofErr w:type="spellEnd"/>
    </w:p>
    <w:p w14:paraId="4978E6CA" w14:textId="77777777" w:rsidR="00D85149" w:rsidRPr="00D85149" w:rsidRDefault="00D85149" w:rsidP="00D85149">
      <w:pPr>
        <w:pStyle w:val="ListParagraph"/>
        <w:numPr>
          <w:ilvl w:val="0"/>
          <w:numId w:val="3"/>
        </w:numPr>
        <w:rPr>
          <w:rFonts w:cs="Times New Roman"/>
          <w:b/>
          <w:szCs w:val="28"/>
        </w:rPr>
      </w:pPr>
      <w:r w:rsidRPr="00D85149">
        <w:rPr>
          <w:rFonts w:cs="Times New Roman"/>
          <w:b/>
          <w:szCs w:val="28"/>
        </w:rPr>
        <w:t>https://vabatahtlikud.ee/uudis/tiina-tambaum-avas-vlogikanali-vananemine-algajatele/</w:t>
      </w:r>
    </w:p>
    <w:p w14:paraId="3E3ABD8E" w14:textId="00EFE452" w:rsidR="00D85149" w:rsidRPr="00D85149" w:rsidRDefault="00D85149" w:rsidP="00D85149">
      <w:pPr>
        <w:pStyle w:val="ListParagraph"/>
        <w:numPr>
          <w:ilvl w:val="0"/>
          <w:numId w:val="3"/>
        </w:numPr>
        <w:rPr>
          <w:rFonts w:cs="Times New Roman"/>
          <w:b/>
          <w:szCs w:val="28"/>
        </w:rPr>
      </w:pPr>
      <w:r w:rsidRPr="00D85149">
        <w:rPr>
          <w:rFonts w:cs="Times New Roman"/>
          <w:b/>
          <w:szCs w:val="28"/>
        </w:rPr>
        <w:t>Projekts</w:t>
      </w:r>
      <w:r>
        <w:rPr>
          <w:rFonts w:cs="Times New Roman"/>
          <w:b/>
          <w:szCs w:val="28"/>
        </w:rPr>
        <w:t xml:space="preserve"> </w:t>
      </w:r>
      <w:r w:rsidRPr="00D85149">
        <w:rPr>
          <w:rFonts w:cs="Times New Roman"/>
          <w:b/>
          <w:szCs w:val="28"/>
        </w:rPr>
        <w:t xml:space="preserve">"Old </w:t>
      </w:r>
      <w:proofErr w:type="spellStart"/>
      <w:r w:rsidRPr="00D85149">
        <w:rPr>
          <w:rFonts w:cs="Times New Roman"/>
          <w:b/>
          <w:szCs w:val="28"/>
        </w:rPr>
        <w:t>memory</w:t>
      </w:r>
      <w:proofErr w:type="spellEnd"/>
      <w:r w:rsidRPr="00D85149">
        <w:rPr>
          <w:rFonts w:cs="Times New Roman"/>
          <w:b/>
          <w:szCs w:val="28"/>
        </w:rPr>
        <w:t xml:space="preserve"> </w:t>
      </w:r>
      <w:proofErr w:type="spellStart"/>
      <w:r w:rsidRPr="00D85149">
        <w:rPr>
          <w:rFonts w:cs="Times New Roman"/>
          <w:b/>
          <w:szCs w:val="28"/>
        </w:rPr>
        <w:t>shake</w:t>
      </w:r>
      <w:proofErr w:type="spellEnd"/>
      <w:r w:rsidRPr="00D85149">
        <w:rPr>
          <w:rFonts w:cs="Times New Roman"/>
          <w:b/>
          <w:szCs w:val="28"/>
        </w:rPr>
        <w:t>"</w:t>
      </w:r>
    </w:p>
    <w:p w14:paraId="6E86D92F" w14:textId="77777777" w:rsidR="00D85149" w:rsidRPr="00D85149" w:rsidRDefault="00D85149" w:rsidP="00D85149">
      <w:pPr>
        <w:ind w:firstLine="0"/>
        <w:rPr>
          <w:rFonts w:cs="Times New Roman"/>
          <w:szCs w:val="28"/>
        </w:rPr>
      </w:pPr>
      <w:r w:rsidRPr="00D85149">
        <w:rPr>
          <w:rFonts w:cs="Times New Roman"/>
          <w:szCs w:val="28"/>
        </w:rPr>
        <w:t>Projekta mērķis ir uzlabot vecāka gadagājuma cilvēku atmiņas spējas un mācīšanās iespējas Lietuvā un Somijā, daloties zināšanās par vecāka gadagājuma cilvēku atmiņas apmācību. Igaunijas partneris Somijā un Lietuvā nodrošina divus vienas nedēļas profesionālos apmācības kursus cilvēkiem, kuri vēlas kļūt par vecāka gadagājuma cilvēku atmiņas treneriem. Šis projekta posms noslēgsies ar sertifikāciju.</w:t>
      </w:r>
    </w:p>
    <w:p w14:paraId="4646CFCB" w14:textId="77777777" w:rsidR="00D85149" w:rsidRPr="00D85149" w:rsidRDefault="00D85149" w:rsidP="00D85149">
      <w:pPr>
        <w:ind w:firstLine="0"/>
        <w:rPr>
          <w:rFonts w:cs="Times New Roman"/>
          <w:szCs w:val="28"/>
        </w:rPr>
      </w:pPr>
      <w:r w:rsidRPr="00D85149">
        <w:rPr>
          <w:rFonts w:cs="Times New Roman"/>
          <w:szCs w:val="28"/>
        </w:rPr>
        <w:t>Otrs mērķis ir izstrādāt mācību materiālus vecāka gadagājuma cilvēku atmiņas treneriem vietējās valodās (somu, lietuviešu, igauņu un krievu). Atmiņas apmācības uzdevumu kopums no trim dažādām valstīm tiks apkopots no vietējām grāmatām, žurnāliem, darbgrāmatām utt.</w:t>
      </w:r>
    </w:p>
    <w:p w14:paraId="259E71FE" w14:textId="77777777" w:rsidR="00D85149" w:rsidRPr="00D85149" w:rsidRDefault="00D85149" w:rsidP="00D85149">
      <w:pPr>
        <w:ind w:firstLine="0"/>
        <w:rPr>
          <w:rFonts w:cs="Times New Roman"/>
          <w:szCs w:val="28"/>
        </w:rPr>
      </w:pPr>
      <w:r w:rsidRPr="00D85149">
        <w:rPr>
          <w:rFonts w:cs="Times New Roman"/>
          <w:szCs w:val="28"/>
        </w:rPr>
        <w:t>Trešais mērķis ir izstrādāt mācību un mācību materiālus platformās, kas paplašina to izmantošanu gados vecāku skolēnu vidū. Atmiņas uzdevumu un spēļu lietotāju testi tiks veikti trīs valstīs, lai novērtētu iespējas izmantot atmiņas apmācības uzdevumus datoru un planšetdatoru platformās.</w:t>
      </w:r>
    </w:p>
    <w:p w14:paraId="4A87EF8B" w14:textId="77777777" w:rsidR="00D85149" w:rsidRPr="00D85149" w:rsidRDefault="00D85149" w:rsidP="00D85149">
      <w:pPr>
        <w:ind w:firstLine="0"/>
        <w:rPr>
          <w:rFonts w:cs="Times New Roman"/>
          <w:szCs w:val="28"/>
        </w:rPr>
      </w:pPr>
      <w:r w:rsidRPr="00D85149">
        <w:rPr>
          <w:rFonts w:cs="Times New Roman"/>
          <w:szCs w:val="28"/>
        </w:rPr>
        <w:t>Ceturtais mērķis ir iepazīstināt ar ideju un priekšrocībām par sistemātisku atmiņas apmācību vecumdienās. Ir cerība pat atvērt pirmās jaunās atmiņas treniņa grupas Somijā un Lietuvā, ko vadīs sertificēti treneri.</w:t>
      </w:r>
    </w:p>
    <w:p w14:paraId="5BFD9244" w14:textId="77777777" w:rsidR="00D85149" w:rsidRPr="00D85149" w:rsidRDefault="00D85149" w:rsidP="00D85149">
      <w:pPr>
        <w:ind w:firstLine="0"/>
        <w:rPr>
          <w:rFonts w:cs="Times New Roman"/>
          <w:szCs w:val="28"/>
        </w:rPr>
      </w:pPr>
      <w:r w:rsidRPr="00D85149">
        <w:rPr>
          <w:rFonts w:cs="Times New Roman"/>
          <w:szCs w:val="28"/>
        </w:rPr>
        <w:t xml:space="preserve">Projekta periods: no 2016. gada 1. septembra līdz 2017. gada 31. decembrim. </w:t>
      </w:r>
    </w:p>
    <w:p w14:paraId="67460908" w14:textId="77777777" w:rsidR="00FC50ED" w:rsidRPr="00D85149" w:rsidRDefault="00FC50ED" w:rsidP="00A73466"/>
    <w:sectPr w:rsidR="00FC50ED" w:rsidRPr="00D85149" w:rsidSect="00A73466">
      <w:headerReference w:type="default" r:id="rId12"/>
      <w:footerReference w:type="default" r:id="rId13"/>
      <w:pgSz w:w="11906" w:h="16838"/>
      <w:pgMar w:top="1440" w:right="1440" w:bottom="1440" w:left="1440" w:header="283"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D6C7" w14:textId="77777777" w:rsidR="00AB5E86" w:rsidRDefault="00AB5E86" w:rsidP="00A73466">
      <w:pPr>
        <w:spacing w:after="0"/>
      </w:pPr>
      <w:r>
        <w:separator/>
      </w:r>
    </w:p>
  </w:endnote>
  <w:endnote w:type="continuationSeparator" w:id="0">
    <w:p w14:paraId="11D1723C" w14:textId="77777777" w:rsidR="00AB5E86" w:rsidRDefault="00AB5E86" w:rsidP="00A73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90443"/>
      <w:docPartObj>
        <w:docPartGallery w:val="Page Numbers (Bottom of Page)"/>
        <w:docPartUnique/>
      </w:docPartObj>
    </w:sdtPr>
    <w:sdtEndPr>
      <w:rPr>
        <w:noProof/>
      </w:rPr>
    </w:sdtEndPr>
    <w:sdtContent>
      <w:p w14:paraId="36714445" w14:textId="7CB93724" w:rsidR="00A73466" w:rsidRDefault="00A734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6B803F" w14:textId="77777777" w:rsidR="00A73466" w:rsidRDefault="00A73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C30E" w14:textId="77777777" w:rsidR="00AB5E86" w:rsidRDefault="00AB5E86" w:rsidP="00A73466">
      <w:pPr>
        <w:spacing w:after="0"/>
      </w:pPr>
      <w:r>
        <w:separator/>
      </w:r>
    </w:p>
  </w:footnote>
  <w:footnote w:type="continuationSeparator" w:id="0">
    <w:p w14:paraId="09CD029B" w14:textId="77777777" w:rsidR="00AB5E86" w:rsidRDefault="00AB5E86" w:rsidP="00A734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E2EA" w14:textId="3E73AA1B" w:rsidR="00A73466" w:rsidRDefault="00A73466" w:rsidP="00A73466">
    <w:pPr>
      <w:pStyle w:val="Header"/>
      <w:jc w:val="right"/>
    </w:pPr>
    <w:r>
      <w:rPr>
        <w:noProof/>
        <w:lang w:eastAsia="lv-LV"/>
      </w:rPr>
      <w:drawing>
        <wp:inline distT="0" distB="0" distL="0" distR="0" wp14:anchorId="7651A433" wp14:editId="351522ED">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EB5BC3"/>
    <w:multiLevelType w:val="hybridMultilevel"/>
    <w:tmpl w:val="B358DA3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66"/>
    <w:rsid w:val="000A1E56"/>
    <w:rsid w:val="00247699"/>
    <w:rsid w:val="00513A0D"/>
    <w:rsid w:val="00574683"/>
    <w:rsid w:val="00747FFB"/>
    <w:rsid w:val="008E4C73"/>
    <w:rsid w:val="008F281D"/>
    <w:rsid w:val="008F596F"/>
    <w:rsid w:val="00923F52"/>
    <w:rsid w:val="00A73466"/>
    <w:rsid w:val="00AB5E86"/>
    <w:rsid w:val="00D646E6"/>
    <w:rsid w:val="00D85149"/>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BF6F3"/>
  <w15:chartTrackingRefBased/>
  <w15:docId w15:val="{07C33ADA-BADF-4F81-8B9B-9A1AD184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66"/>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jc w:val="left"/>
    </w:pPr>
    <w:rPr>
      <w:rFonts w:cstheme="minorHAnsi"/>
      <w:b/>
      <w:bCs/>
      <w:szCs w:val="20"/>
    </w:rPr>
  </w:style>
  <w:style w:type="paragraph" w:styleId="TOC2">
    <w:name w:val="toc 2"/>
    <w:basedOn w:val="Normal"/>
    <w:next w:val="Normal"/>
    <w:uiPriority w:val="39"/>
    <w:unhideWhenUsed/>
    <w:qFormat/>
    <w:rsid w:val="00923F52"/>
    <w:pPr>
      <w:spacing w:after="0"/>
      <w:ind w:left="280"/>
      <w:jc w:val="left"/>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jc w:val="left"/>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character" w:styleId="Hyperlink">
    <w:name w:val="Hyperlink"/>
    <w:basedOn w:val="DefaultParagraphFont"/>
    <w:uiPriority w:val="99"/>
    <w:unhideWhenUsed/>
    <w:rsid w:val="00A73466"/>
    <w:rPr>
      <w:color w:val="0000FF"/>
      <w:u w:val="single"/>
    </w:rPr>
  </w:style>
  <w:style w:type="paragraph" w:styleId="Header">
    <w:name w:val="header"/>
    <w:basedOn w:val="Normal"/>
    <w:link w:val="HeaderChar"/>
    <w:uiPriority w:val="99"/>
    <w:unhideWhenUsed/>
    <w:rsid w:val="00A73466"/>
    <w:pPr>
      <w:tabs>
        <w:tab w:val="center" w:pos="4513"/>
        <w:tab w:val="right" w:pos="9026"/>
      </w:tabs>
      <w:spacing w:after="0"/>
    </w:pPr>
  </w:style>
  <w:style w:type="character" w:customStyle="1" w:styleId="HeaderChar">
    <w:name w:val="Header Char"/>
    <w:basedOn w:val="DefaultParagraphFont"/>
    <w:link w:val="Header"/>
    <w:uiPriority w:val="99"/>
    <w:rsid w:val="00A73466"/>
    <w:rPr>
      <w:rFonts w:ascii="Times New Roman" w:hAnsi="Times New Roman"/>
      <w:sz w:val="28"/>
    </w:rPr>
  </w:style>
  <w:style w:type="paragraph" w:styleId="Footer">
    <w:name w:val="footer"/>
    <w:basedOn w:val="Normal"/>
    <w:link w:val="FooterChar"/>
    <w:uiPriority w:val="99"/>
    <w:unhideWhenUsed/>
    <w:rsid w:val="00A73466"/>
    <w:pPr>
      <w:tabs>
        <w:tab w:val="center" w:pos="4513"/>
        <w:tab w:val="right" w:pos="9026"/>
      </w:tabs>
      <w:spacing w:after="0"/>
    </w:pPr>
  </w:style>
  <w:style w:type="character" w:customStyle="1" w:styleId="FooterChar">
    <w:name w:val="Footer Char"/>
    <w:basedOn w:val="DefaultParagraphFont"/>
    <w:link w:val="Footer"/>
    <w:uiPriority w:val="99"/>
    <w:rsid w:val="00A73466"/>
    <w:rPr>
      <w:rFonts w:ascii="Times New Roman" w:hAnsi="Times New Roman"/>
      <w:sz w:val="28"/>
    </w:rPr>
  </w:style>
  <w:style w:type="character" w:styleId="UnresolvedMention">
    <w:name w:val="Unresolved Mention"/>
    <w:basedOn w:val="DefaultParagraphFont"/>
    <w:uiPriority w:val="99"/>
    <w:semiHidden/>
    <w:unhideWhenUsed/>
    <w:rsid w:val="00A73466"/>
    <w:rPr>
      <w:color w:val="605E5C"/>
      <w:shd w:val="clear" w:color="auto" w:fill="E1DFDD"/>
    </w:rPr>
  </w:style>
  <w:style w:type="paragraph" w:styleId="ListParagraph">
    <w:name w:val="List Paragraph"/>
    <w:basedOn w:val="Normal"/>
    <w:uiPriority w:val="34"/>
    <w:qFormat/>
    <w:rsid w:val="00D8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24767020_Lifelong_Learning_What_does_it_Me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xfordhandbooks.com/view/10.1093/oxfordhb/9780195390483.001.0001/oxfordhb-9780195390483-e-0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65b.weebly.com/saumlr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81992?&amp;search=on" TargetMode="External"/><Relationship Id="rId4" Type="http://schemas.openxmlformats.org/officeDocument/2006/relationships/webSettings" Target="webSettings.xml"/><Relationship Id="rId9" Type="http://schemas.openxmlformats.org/officeDocument/2006/relationships/hyperlink" Target="https://www.valamis.com/hub/adult-learning-princip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3343</Words>
  <Characters>1907</Characters>
  <Application>Microsoft Office Word</Application>
  <DocSecurity>0</DocSecurity>
  <Lines>15</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2</cp:revision>
  <dcterms:created xsi:type="dcterms:W3CDTF">2021-08-17T09:23:00Z</dcterms:created>
  <dcterms:modified xsi:type="dcterms:W3CDTF">2021-08-17T09:40:00Z</dcterms:modified>
</cp:coreProperties>
</file>